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07E" w:rsidRDefault="00A4707E"/>
    <w:p w:rsidR="00134005" w:rsidRDefault="00134005">
      <w:pPr>
        <w:sectPr w:rsidR="00134005">
          <w:headerReference w:type="first" r:id="rId7"/>
          <w:footerReference w:type="first" r:id="rId8"/>
          <w:type w:val="continuous"/>
          <w:pgSz w:w="12240" w:h="15840" w:code="1"/>
          <w:pgMar w:top="1440" w:right="907" w:bottom="576" w:left="907" w:header="432" w:footer="432" w:gutter="0"/>
          <w:cols w:space="720"/>
          <w:titlePg/>
        </w:sectPr>
      </w:pPr>
    </w:p>
    <w:p w:rsidR="00A4707E" w:rsidRDefault="00A4707E">
      <w:pPr>
        <w:pStyle w:val="Heading1"/>
      </w:pPr>
      <w:r>
        <w:t>MEMO</w:t>
      </w:r>
    </w:p>
    <w:p w:rsidR="00A4707E" w:rsidRDefault="00A4707E">
      <w:pPr>
        <w:jc w:val="both"/>
        <w:rPr>
          <w:rFonts w:ascii="Courier New" w:hAnsi="Courier New"/>
        </w:rPr>
      </w:pPr>
    </w:p>
    <w:p w:rsidR="00A4707E" w:rsidRDefault="00A4707E">
      <w:pPr>
        <w:tabs>
          <w:tab w:val="left" w:pos="1584"/>
        </w:tabs>
        <w:jc w:val="both"/>
        <w:rPr>
          <w:rFonts w:ascii="Courier New" w:hAnsi="Courier New"/>
        </w:rPr>
      </w:pPr>
      <w:r>
        <w:rPr>
          <w:rFonts w:ascii="Courier New" w:hAnsi="Courier New"/>
          <w:b/>
        </w:rPr>
        <w:t>DATE:</w:t>
      </w:r>
      <w:r>
        <w:rPr>
          <w:rFonts w:ascii="Courier New" w:hAnsi="Courier New"/>
        </w:rPr>
        <w:tab/>
      </w:r>
      <w:r w:rsidR="00B567D8">
        <w:rPr>
          <w:rFonts w:ascii="Courier New" w:hAnsi="Courier New"/>
        </w:rPr>
        <w:t>September 18, 2019</w:t>
      </w:r>
    </w:p>
    <w:p w:rsidR="00A4707E" w:rsidRDefault="00A4707E">
      <w:pPr>
        <w:tabs>
          <w:tab w:val="left" w:pos="1584"/>
        </w:tabs>
        <w:jc w:val="both"/>
        <w:rPr>
          <w:rFonts w:ascii="Courier New" w:hAnsi="Courier New"/>
        </w:rPr>
      </w:pPr>
    </w:p>
    <w:p w:rsidR="00A4707E" w:rsidRDefault="00A4707E">
      <w:pPr>
        <w:tabs>
          <w:tab w:val="left" w:pos="1584"/>
        </w:tabs>
        <w:jc w:val="both"/>
        <w:rPr>
          <w:rFonts w:ascii="Courier New" w:hAnsi="Courier New"/>
        </w:rPr>
      </w:pPr>
      <w:r>
        <w:rPr>
          <w:rFonts w:ascii="Courier New" w:hAnsi="Courier New"/>
          <w:b/>
        </w:rPr>
        <w:t>TO:</w:t>
      </w:r>
      <w:r>
        <w:rPr>
          <w:rFonts w:ascii="Courier New" w:hAnsi="Courier New"/>
          <w:b/>
        </w:rPr>
        <w:tab/>
      </w:r>
      <w:r w:rsidR="00B567D8">
        <w:rPr>
          <w:rFonts w:ascii="Courier New" w:hAnsi="Courier New"/>
        </w:rPr>
        <w:t>Staff on Chamness Conference Call</w:t>
      </w:r>
    </w:p>
    <w:p w:rsidR="00A4707E" w:rsidRDefault="00A4707E">
      <w:pPr>
        <w:tabs>
          <w:tab w:val="left" w:pos="1584"/>
        </w:tabs>
        <w:jc w:val="both"/>
        <w:rPr>
          <w:rFonts w:ascii="Courier New" w:hAnsi="Courier New"/>
        </w:rPr>
      </w:pPr>
    </w:p>
    <w:p w:rsidR="00A4707E" w:rsidRDefault="00A4707E">
      <w:pPr>
        <w:tabs>
          <w:tab w:val="left" w:pos="1584"/>
        </w:tabs>
        <w:jc w:val="both"/>
        <w:rPr>
          <w:rFonts w:ascii="Courier New" w:hAnsi="Courier New"/>
        </w:rPr>
      </w:pPr>
      <w:r>
        <w:rPr>
          <w:rFonts w:ascii="Courier New" w:hAnsi="Courier New"/>
          <w:b/>
        </w:rPr>
        <w:t>FROM:</w:t>
      </w:r>
      <w:r>
        <w:rPr>
          <w:rFonts w:ascii="Courier New" w:hAnsi="Courier New"/>
        </w:rPr>
        <w:tab/>
      </w:r>
      <w:r w:rsidR="00B567D8">
        <w:rPr>
          <w:rFonts w:ascii="Courier New" w:hAnsi="Courier New"/>
        </w:rPr>
        <w:t>Kurt Levetzow</w:t>
      </w:r>
    </w:p>
    <w:p w:rsidR="00A4707E" w:rsidRDefault="00A4707E">
      <w:pPr>
        <w:tabs>
          <w:tab w:val="left" w:pos="1584"/>
        </w:tabs>
        <w:jc w:val="both"/>
        <w:rPr>
          <w:rFonts w:ascii="Courier New" w:hAnsi="Courier New"/>
        </w:rPr>
      </w:pPr>
    </w:p>
    <w:p w:rsidR="00A4707E" w:rsidRDefault="00A4707E">
      <w:pPr>
        <w:tabs>
          <w:tab w:val="left" w:pos="1584"/>
        </w:tabs>
        <w:jc w:val="both"/>
        <w:rPr>
          <w:rFonts w:ascii="Courier New" w:hAnsi="Courier New"/>
        </w:rPr>
      </w:pPr>
      <w:r>
        <w:rPr>
          <w:rFonts w:ascii="Courier New" w:hAnsi="Courier New"/>
          <w:b/>
        </w:rPr>
        <w:t>RE:</w:t>
      </w:r>
      <w:r>
        <w:rPr>
          <w:rFonts w:ascii="Courier New" w:hAnsi="Courier New"/>
        </w:rPr>
        <w:tab/>
      </w:r>
      <w:r w:rsidR="00B567D8">
        <w:rPr>
          <w:rFonts w:ascii="Courier New" w:hAnsi="Courier New"/>
        </w:rPr>
        <w:t>Chamness compost operation violations</w:t>
      </w:r>
    </w:p>
    <w:p w:rsidR="00B567D8" w:rsidRDefault="00B567D8">
      <w:pPr>
        <w:tabs>
          <w:tab w:val="left" w:pos="1584"/>
        </w:tabs>
        <w:jc w:val="both"/>
        <w:rPr>
          <w:rFonts w:ascii="Courier New" w:hAnsi="Courier New"/>
        </w:rPr>
      </w:pPr>
    </w:p>
    <w:p w:rsidR="00B567D8" w:rsidRPr="00B567D8" w:rsidRDefault="00B567D8">
      <w:pPr>
        <w:tabs>
          <w:tab w:val="left" w:pos="1584"/>
        </w:tabs>
        <w:jc w:val="both"/>
        <w:rPr>
          <w:rFonts w:ascii="Courier New" w:hAnsi="Courier New"/>
          <w:b/>
        </w:rPr>
      </w:pPr>
      <w:r w:rsidRPr="00B567D8">
        <w:rPr>
          <w:rFonts w:ascii="Courier New" w:hAnsi="Courier New"/>
          <w:b/>
        </w:rPr>
        <w:t>PERMIT NO:</w:t>
      </w:r>
      <w:r>
        <w:rPr>
          <w:rFonts w:ascii="Courier New" w:hAnsi="Courier New"/>
          <w:b/>
        </w:rPr>
        <w:t xml:space="preserve">   </w:t>
      </w:r>
      <w:r w:rsidRPr="00B567D8">
        <w:rPr>
          <w:rFonts w:ascii="Courier New" w:hAnsi="Courier New"/>
        </w:rPr>
        <w:t>90-SDP-10-97P-COM</w:t>
      </w:r>
    </w:p>
    <w:p w:rsidR="00A4707E" w:rsidRDefault="00A4707E">
      <w:pPr>
        <w:tabs>
          <w:tab w:val="left" w:pos="1584"/>
        </w:tabs>
        <w:jc w:val="both"/>
        <w:rPr>
          <w:rFonts w:ascii="Courier New" w:hAnsi="Courier New"/>
          <w:b/>
        </w:rPr>
      </w:pPr>
    </w:p>
    <w:p w:rsidR="00A4707E" w:rsidRPr="00B567D8" w:rsidRDefault="00B567D8">
      <w:pPr>
        <w:jc w:val="both"/>
        <w:rPr>
          <w:rFonts w:ascii="Courier New" w:hAnsi="Courier New"/>
          <w:u w:val="single"/>
        </w:rPr>
      </w:pPr>
      <w:r w:rsidRPr="00B567D8">
        <w:rPr>
          <w:rFonts w:ascii="Courier New" w:hAnsi="Courier New"/>
          <w:b/>
          <w:u w:val="single"/>
        </w:rPr>
        <w:t>History:</w:t>
      </w:r>
    </w:p>
    <w:p w:rsidR="00DD1A61" w:rsidRDefault="00DD1A61" w:rsidP="00B21AF1">
      <w:pPr>
        <w:pStyle w:val="ListParagraph"/>
        <w:numPr>
          <w:ilvl w:val="0"/>
          <w:numId w:val="1"/>
        </w:numPr>
        <w:jc w:val="both"/>
        <w:rPr>
          <w:rFonts w:ascii="Courier New" w:hAnsi="Courier New"/>
        </w:rPr>
      </w:pPr>
      <w:r>
        <w:rPr>
          <w:rFonts w:ascii="Courier New" w:hAnsi="Courier New"/>
        </w:rPr>
        <w:t xml:space="preserve">October </w:t>
      </w:r>
      <w:r w:rsidR="00F86EA5">
        <w:rPr>
          <w:rFonts w:ascii="Courier New" w:hAnsi="Courier New"/>
        </w:rPr>
        <w:t xml:space="preserve">19, </w:t>
      </w:r>
      <w:r>
        <w:rPr>
          <w:rFonts w:ascii="Courier New" w:hAnsi="Courier New"/>
        </w:rPr>
        <w:t xml:space="preserve">2018 – Brian and I visited </w:t>
      </w:r>
      <w:proofErr w:type="spellStart"/>
      <w:r>
        <w:rPr>
          <w:rFonts w:ascii="Courier New" w:hAnsi="Courier New"/>
        </w:rPr>
        <w:t>Chamness</w:t>
      </w:r>
      <w:proofErr w:type="spellEnd"/>
      <w:r>
        <w:rPr>
          <w:rFonts w:ascii="Courier New" w:hAnsi="Courier New"/>
        </w:rPr>
        <w:t xml:space="preserve"> after they took in spoiled meat from a packing plant to see how that was going.  This was the first time FO6 noted the lack of windrows.  </w:t>
      </w:r>
      <w:r w:rsidR="00F86EA5">
        <w:rPr>
          <w:rFonts w:ascii="Courier New" w:hAnsi="Courier New"/>
        </w:rPr>
        <w:t xml:space="preserve">October 31, 2018, Brian sent </w:t>
      </w:r>
      <w:proofErr w:type="spellStart"/>
      <w:r w:rsidR="00F86EA5">
        <w:rPr>
          <w:rFonts w:ascii="Courier New" w:hAnsi="Courier New"/>
        </w:rPr>
        <w:t>Chamness</w:t>
      </w:r>
      <w:proofErr w:type="spellEnd"/>
      <w:r w:rsidR="00F86EA5">
        <w:rPr>
          <w:rFonts w:ascii="Courier New" w:hAnsi="Courier New"/>
        </w:rPr>
        <w:t xml:space="preserve"> a letter detailing our concerns of not following their own permit/operations plan. </w:t>
      </w:r>
    </w:p>
    <w:p w:rsidR="004F0D42" w:rsidRPr="004F0D42" w:rsidRDefault="004F0D42" w:rsidP="004F0D42">
      <w:pPr>
        <w:pStyle w:val="ListParagraph"/>
        <w:ind w:left="1530" w:right="738"/>
        <w:jc w:val="both"/>
        <w:rPr>
          <w:rFonts w:ascii="Times" w:hAnsi="Times"/>
          <w:i/>
          <w:sz w:val="18"/>
          <w:szCs w:val="18"/>
        </w:rPr>
      </w:pPr>
      <w:r w:rsidRPr="004F0D42">
        <w:rPr>
          <w:rFonts w:ascii="Courier New" w:hAnsi="Courier New"/>
          <w:i/>
          <w:sz w:val="18"/>
          <w:szCs w:val="18"/>
        </w:rPr>
        <w:t xml:space="preserve">Iowa DNR Field Office 6 acknowledges that </w:t>
      </w:r>
      <w:proofErr w:type="spellStart"/>
      <w:r w:rsidRPr="004F0D42">
        <w:rPr>
          <w:rFonts w:ascii="Courier New" w:hAnsi="Courier New"/>
          <w:i/>
          <w:sz w:val="18"/>
          <w:szCs w:val="18"/>
        </w:rPr>
        <w:t>Chamness</w:t>
      </w:r>
      <w:proofErr w:type="spellEnd"/>
      <w:r w:rsidRPr="004F0D42">
        <w:rPr>
          <w:rFonts w:ascii="Courier New" w:hAnsi="Courier New"/>
          <w:i/>
          <w:sz w:val="18"/>
          <w:szCs w:val="18"/>
        </w:rPr>
        <w:t xml:space="preserve"> is not limited to a certain tonnage of incoming </w:t>
      </w:r>
      <w:proofErr w:type="spellStart"/>
      <w:r w:rsidRPr="004F0D42">
        <w:rPr>
          <w:rFonts w:ascii="Courier New" w:hAnsi="Courier New"/>
          <w:i/>
          <w:sz w:val="18"/>
          <w:szCs w:val="18"/>
        </w:rPr>
        <w:t>feedstocks</w:t>
      </w:r>
      <w:proofErr w:type="spellEnd"/>
      <w:r w:rsidRPr="004F0D42">
        <w:rPr>
          <w:rFonts w:ascii="Courier New" w:hAnsi="Courier New"/>
          <w:i/>
          <w:sz w:val="18"/>
          <w:szCs w:val="18"/>
        </w:rPr>
        <w:t xml:space="preserve">, however, if the amount of </w:t>
      </w:r>
      <w:proofErr w:type="spellStart"/>
      <w:r w:rsidRPr="004F0D42">
        <w:rPr>
          <w:rFonts w:ascii="Courier New" w:hAnsi="Courier New"/>
          <w:i/>
          <w:sz w:val="18"/>
          <w:szCs w:val="18"/>
        </w:rPr>
        <w:t>feedstocks</w:t>
      </w:r>
      <w:proofErr w:type="spellEnd"/>
      <w:r w:rsidRPr="004F0D42">
        <w:rPr>
          <w:rFonts w:ascii="Courier New" w:hAnsi="Courier New"/>
          <w:i/>
          <w:sz w:val="18"/>
          <w:szCs w:val="18"/>
        </w:rPr>
        <w:t xml:space="preserve"> exceeds the facility’s ability to maintain windrows, as is specifically listed in the Operations Plan numerous times, </w:t>
      </w:r>
      <w:proofErr w:type="spellStart"/>
      <w:r w:rsidRPr="004F0D42">
        <w:rPr>
          <w:rFonts w:ascii="Courier New" w:hAnsi="Courier New"/>
          <w:i/>
          <w:sz w:val="18"/>
          <w:szCs w:val="18"/>
        </w:rPr>
        <w:t>Chamness</w:t>
      </w:r>
      <w:proofErr w:type="spellEnd"/>
      <w:r w:rsidRPr="004F0D42">
        <w:rPr>
          <w:rFonts w:ascii="Courier New" w:hAnsi="Courier New"/>
          <w:i/>
          <w:sz w:val="18"/>
          <w:szCs w:val="18"/>
        </w:rPr>
        <w:t xml:space="preserve"> </w:t>
      </w:r>
      <w:r w:rsidRPr="004F0D42">
        <w:rPr>
          <w:rFonts w:ascii="Courier New" w:hAnsi="Courier New"/>
          <w:i/>
          <w:sz w:val="18"/>
          <w:szCs w:val="18"/>
          <w:u w:val="single"/>
        </w:rPr>
        <w:t>may be</w:t>
      </w:r>
      <w:r w:rsidRPr="004F0D42">
        <w:rPr>
          <w:rFonts w:ascii="Courier New" w:hAnsi="Courier New"/>
          <w:i/>
          <w:sz w:val="18"/>
          <w:szCs w:val="18"/>
        </w:rPr>
        <w:t xml:space="preserve"> required to accept less </w:t>
      </w:r>
      <w:proofErr w:type="spellStart"/>
      <w:r w:rsidRPr="004F0D42">
        <w:rPr>
          <w:rFonts w:ascii="Courier New" w:hAnsi="Courier New"/>
          <w:i/>
          <w:sz w:val="18"/>
          <w:szCs w:val="18"/>
        </w:rPr>
        <w:t>feedstocks</w:t>
      </w:r>
      <w:proofErr w:type="spellEnd"/>
      <w:r w:rsidRPr="004F0D42">
        <w:rPr>
          <w:rFonts w:ascii="Courier New" w:hAnsi="Courier New"/>
          <w:i/>
          <w:sz w:val="18"/>
          <w:szCs w:val="18"/>
        </w:rPr>
        <w:t xml:space="preserve"> until the facility can fit windrows back onto the pad.  A follow up visit will be conducted to assess compliance.    </w:t>
      </w:r>
    </w:p>
    <w:p w:rsidR="00DD1A61" w:rsidRDefault="00DD1A61" w:rsidP="00DD1A61">
      <w:pPr>
        <w:pStyle w:val="ListParagraph"/>
        <w:jc w:val="both"/>
        <w:rPr>
          <w:rFonts w:ascii="Courier New" w:hAnsi="Courier New"/>
        </w:rPr>
      </w:pPr>
    </w:p>
    <w:p w:rsidR="00B21AF1" w:rsidRPr="004F0D42" w:rsidRDefault="00B567D8" w:rsidP="008B37C6">
      <w:pPr>
        <w:pStyle w:val="ListParagraph"/>
        <w:numPr>
          <w:ilvl w:val="0"/>
          <w:numId w:val="1"/>
        </w:numPr>
        <w:jc w:val="both"/>
        <w:rPr>
          <w:rFonts w:ascii="Courier New" w:hAnsi="Courier New"/>
        </w:rPr>
      </w:pPr>
      <w:r w:rsidRPr="004F0D42">
        <w:rPr>
          <w:rFonts w:ascii="Courier New" w:hAnsi="Courier New"/>
        </w:rPr>
        <w:t xml:space="preserve">March 26, 2019 – Brian Lee conducted inspection of Chamness compost operation. </w:t>
      </w:r>
      <w:r w:rsidR="004F0D42" w:rsidRPr="004F0D42">
        <w:rPr>
          <w:rFonts w:ascii="Courier New" w:hAnsi="Courier New"/>
        </w:rPr>
        <w:t>As result of, on April 1, 2019, a</w:t>
      </w:r>
      <w:r w:rsidRPr="004F0D42">
        <w:rPr>
          <w:rFonts w:ascii="Courier New" w:hAnsi="Courier New"/>
        </w:rPr>
        <w:t xml:space="preserve"> </w:t>
      </w:r>
      <w:r w:rsidR="00882C41" w:rsidRPr="004F0D42">
        <w:rPr>
          <w:rFonts w:ascii="Courier New" w:hAnsi="Courier New"/>
        </w:rPr>
        <w:t>Notice of Violation (</w:t>
      </w:r>
      <w:r w:rsidRPr="004F0D42">
        <w:rPr>
          <w:rFonts w:ascii="Courier New" w:hAnsi="Courier New"/>
        </w:rPr>
        <w:t>NOV</w:t>
      </w:r>
      <w:r w:rsidR="00882C41" w:rsidRPr="004F0D42">
        <w:rPr>
          <w:rFonts w:ascii="Courier New" w:hAnsi="Courier New"/>
        </w:rPr>
        <w:t>)</w:t>
      </w:r>
      <w:r w:rsidRPr="004F0D42">
        <w:rPr>
          <w:rFonts w:ascii="Courier New" w:hAnsi="Courier New"/>
        </w:rPr>
        <w:t xml:space="preserve"> for various operations plan violations.</w:t>
      </w:r>
      <w:r w:rsidR="004F0D42">
        <w:rPr>
          <w:rFonts w:ascii="Courier New" w:hAnsi="Courier New"/>
        </w:rPr>
        <w:t xml:space="preserve">  </w:t>
      </w:r>
      <w:r w:rsidR="00B21AF1" w:rsidRPr="004F0D42">
        <w:rPr>
          <w:rFonts w:ascii="Courier New" w:hAnsi="Courier New"/>
        </w:rPr>
        <w:t>(Leachate/Ponding Management, Aerobic Conditions, Temperature &amp; Moisture Collection)</w:t>
      </w:r>
    </w:p>
    <w:p w:rsidR="00B21AF1" w:rsidRPr="00B21AF1" w:rsidRDefault="00B21AF1" w:rsidP="00B21AF1">
      <w:pPr>
        <w:pStyle w:val="ListParagraph"/>
        <w:rPr>
          <w:rFonts w:ascii="Courier New" w:hAnsi="Courier New"/>
        </w:rPr>
      </w:pPr>
    </w:p>
    <w:p w:rsidR="00B21AF1" w:rsidRDefault="00B21AF1" w:rsidP="00B21AF1">
      <w:pPr>
        <w:pStyle w:val="ListParagraph"/>
        <w:numPr>
          <w:ilvl w:val="0"/>
          <w:numId w:val="1"/>
        </w:numPr>
        <w:jc w:val="both"/>
        <w:rPr>
          <w:rFonts w:ascii="Courier New" w:hAnsi="Courier New"/>
        </w:rPr>
      </w:pPr>
      <w:r>
        <w:rPr>
          <w:rFonts w:ascii="Courier New" w:hAnsi="Courier New"/>
        </w:rPr>
        <w:t>May 28, 2019 – due to extremely wet spring, Gary Chamness requested permission for a one-time discharge from the middle lagoon.  Due to fears of the middle lagoon running over and causing more overall harm, on May 28, 2019, Terry Jones approved the discharge, with stipulations.</w:t>
      </w:r>
      <w:r w:rsidR="00882C41">
        <w:rPr>
          <w:rFonts w:ascii="Courier New" w:hAnsi="Courier New"/>
        </w:rPr>
        <w:t xml:space="preserve">  On June 4, 2019, Gary Chamness responded in writing indicating that bypassing started and stopped within one day’s time and freeboard went from less than 1’ to 9.25’.  </w:t>
      </w:r>
    </w:p>
    <w:p w:rsidR="00B21AF1" w:rsidRPr="00B21AF1" w:rsidRDefault="00B21AF1" w:rsidP="00B21AF1">
      <w:pPr>
        <w:pStyle w:val="ListParagraph"/>
        <w:rPr>
          <w:rFonts w:ascii="Courier New" w:hAnsi="Courier New"/>
        </w:rPr>
      </w:pPr>
    </w:p>
    <w:p w:rsidR="00B21AF1" w:rsidRDefault="00882C41" w:rsidP="00B21AF1">
      <w:pPr>
        <w:pStyle w:val="ListParagraph"/>
        <w:numPr>
          <w:ilvl w:val="0"/>
          <w:numId w:val="1"/>
        </w:numPr>
        <w:jc w:val="both"/>
        <w:rPr>
          <w:rFonts w:ascii="Courier New" w:hAnsi="Courier New"/>
        </w:rPr>
      </w:pPr>
      <w:r>
        <w:rPr>
          <w:rFonts w:ascii="Courier New" w:hAnsi="Courier New"/>
        </w:rPr>
        <w:t xml:space="preserve">August 27, 2019 – DNR FO6 received a report of a Hazardous Substance Incident (HSI) regarding leachate running off the pad at Chamness and into Palestine Creek.  Ryan </w:t>
      </w:r>
      <w:proofErr w:type="spellStart"/>
      <w:r>
        <w:rPr>
          <w:rFonts w:ascii="Courier New" w:hAnsi="Courier New"/>
        </w:rPr>
        <w:t>Stouder</w:t>
      </w:r>
      <w:proofErr w:type="spellEnd"/>
      <w:r>
        <w:rPr>
          <w:rFonts w:ascii="Courier New" w:hAnsi="Courier New"/>
        </w:rPr>
        <w:t>, DNR FO6, was on call at the time, and responded as such.  Later the incident was changed from an HSI back to a complaint as it appeared the incident was the direct result of failure to comply with permit conditions vs a “spill”.  Due to surface water sampling, a NOV was issued to Chamness Technology for General Water Quality Criteria, Prohibited Discharge, Prohibited Action, Failure to Notify, and Response to Contamination.</w:t>
      </w:r>
      <w:r w:rsidR="0025256D">
        <w:rPr>
          <w:rFonts w:ascii="Courier New" w:hAnsi="Courier New"/>
        </w:rPr>
        <w:t xml:space="preserve"> Complaint No. 27291 assigned as well as HSI No. 082719-BMS-0816</w:t>
      </w:r>
    </w:p>
    <w:tbl>
      <w:tblPr>
        <w:tblStyle w:val="TableGrid"/>
        <w:tblW w:w="0" w:type="auto"/>
        <w:tblInd w:w="720" w:type="dxa"/>
        <w:tblLook w:val="04A0" w:firstRow="1" w:lastRow="0" w:firstColumn="1" w:lastColumn="0" w:noHBand="0" w:noVBand="1"/>
      </w:tblPr>
      <w:tblGrid>
        <w:gridCol w:w="1470"/>
        <w:gridCol w:w="1421"/>
        <w:gridCol w:w="1356"/>
        <w:gridCol w:w="1372"/>
        <w:gridCol w:w="1356"/>
        <w:gridCol w:w="1356"/>
        <w:gridCol w:w="1307"/>
      </w:tblGrid>
      <w:tr w:rsidR="0025256D" w:rsidTr="0025256D">
        <w:tc>
          <w:tcPr>
            <w:tcW w:w="1470" w:type="dxa"/>
          </w:tcPr>
          <w:p w:rsidR="0025256D" w:rsidRDefault="0025256D" w:rsidP="0025256D">
            <w:pPr>
              <w:pStyle w:val="ListParagraph"/>
              <w:ind w:left="0"/>
              <w:rPr>
                <w:rFonts w:ascii="Courier New" w:hAnsi="Courier New"/>
              </w:rPr>
            </w:pPr>
          </w:p>
        </w:tc>
        <w:tc>
          <w:tcPr>
            <w:tcW w:w="1421" w:type="dxa"/>
          </w:tcPr>
          <w:p w:rsidR="0025256D" w:rsidRDefault="0025256D" w:rsidP="0025256D">
            <w:pPr>
              <w:pStyle w:val="ListParagraph"/>
              <w:ind w:left="0"/>
              <w:rPr>
                <w:rFonts w:ascii="Courier New" w:hAnsi="Courier New"/>
              </w:rPr>
            </w:pPr>
            <w:r>
              <w:rPr>
                <w:rFonts w:ascii="Courier New" w:hAnsi="Courier New"/>
              </w:rPr>
              <w:t>ammonia</w:t>
            </w:r>
          </w:p>
        </w:tc>
        <w:tc>
          <w:tcPr>
            <w:tcW w:w="1356" w:type="dxa"/>
          </w:tcPr>
          <w:p w:rsidR="0025256D" w:rsidRDefault="0025256D" w:rsidP="0025256D">
            <w:pPr>
              <w:pStyle w:val="ListParagraph"/>
              <w:ind w:left="0"/>
              <w:rPr>
                <w:rFonts w:ascii="Courier New" w:hAnsi="Courier New"/>
              </w:rPr>
            </w:pPr>
            <w:r>
              <w:rPr>
                <w:rFonts w:ascii="Courier New" w:hAnsi="Courier New"/>
              </w:rPr>
              <w:t>BOD</w:t>
            </w:r>
          </w:p>
        </w:tc>
        <w:tc>
          <w:tcPr>
            <w:tcW w:w="1372" w:type="dxa"/>
          </w:tcPr>
          <w:p w:rsidR="0025256D" w:rsidRDefault="0025256D" w:rsidP="0025256D">
            <w:pPr>
              <w:pStyle w:val="ListParagraph"/>
              <w:ind w:left="0"/>
              <w:rPr>
                <w:rFonts w:ascii="Courier New" w:hAnsi="Courier New"/>
              </w:rPr>
            </w:pPr>
            <w:r>
              <w:rPr>
                <w:rFonts w:ascii="Courier New" w:hAnsi="Courier New"/>
              </w:rPr>
              <w:t>CBOD</w:t>
            </w:r>
          </w:p>
        </w:tc>
        <w:tc>
          <w:tcPr>
            <w:tcW w:w="1356" w:type="dxa"/>
          </w:tcPr>
          <w:p w:rsidR="0025256D" w:rsidRDefault="0025256D" w:rsidP="0025256D">
            <w:pPr>
              <w:pStyle w:val="ListParagraph"/>
              <w:ind w:left="0"/>
              <w:rPr>
                <w:rFonts w:ascii="Courier New" w:hAnsi="Courier New"/>
              </w:rPr>
            </w:pPr>
            <w:r>
              <w:rPr>
                <w:rFonts w:ascii="Courier New" w:hAnsi="Courier New"/>
              </w:rPr>
              <w:t>pH</w:t>
            </w:r>
          </w:p>
        </w:tc>
        <w:tc>
          <w:tcPr>
            <w:tcW w:w="1356" w:type="dxa"/>
          </w:tcPr>
          <w:p w:rsidR="0025256D" w:rsidRDefault="0025256D" w:rsidP="0025256D">
            <w:pPr>
              <w:pStyle w:val="ListParagraph"/>
              <w:ind w:left="0"/>
              <w:rPr>
                <w:rFonts w:ascii="Courier New" w:hAnsi="Courier New"/>
              </w:rPr>
            </w:pPr>
            <w:r>
              <w:rPr>
                <w:rFonts w:ascii="Courier New" w:hAnsi="Courier New"/>
              </w:rPr>
              <w:t>TSS</w:t>
            </w:r>
          </w:p>
        </w:tc>
        <w:tc>
          <w:tcPr>
            <w:tcW w:w="1307" w:type="dxa"/>
          </w:tcPr>
          <w:p w:rsidR="0025256D" w:rsidRDefault="0025256D" w:rsidP="0025256D">
            <w:pPr>
              <w:pStyle w:val="ListParagraph"/>
              <w:ind w:left="0"/>
              <w:rPr>
                <w:rFonts w:ascii="Courier New" w:hAnsi="Courier New"/>
              </w:rPr>
            </w:pPr>
          </w:p>
        </w:tc>
      </w:tr>
      <w:tr w:rsidR="0025256D" w:rsidTr="0025256D">
        <w:tc>
          <w:tcPr>
            <w:tcW w:w="1470" w:type="dxa"/>
          </w:tcPr>
          <w:p w:rsidR="0025256D" w:rsidRDefault="0025256D" w:rsidP="0025256D">
            <w:pPr>
              <w:pStyle w:val="ListParagraph"/>
              <w:ind w:left="0"/>
              <w:rPr>
                <w:rFonts w:ascii="Courier New" w:hAnsi="Courier New"/>
              </w:rPr>
            </w:pPr>
            <w:r>
              <w:rPr>
                <w:rFonts w:ascii="Courier New" w:hAnsi="Courier New"/>
              </w:rPr>
              <w:t>Upstream A</w:t>
            </w:r>
          </w:p>
        </w:tc>
        <w:tc>
          <w:tcPr>
            <w:tcW w:w="1421" w:type="dxa"/>
          </w:tcPr>
          <w:p w:rsidR="0025256D" w:rsidRDefault="0025256D" w:rsidP="0025256D">
            <w:pPr>
              <w:pStyle w:val="ListParagraph"/>
              <w:ind w:left="0"/>
              <w:rPr>
                <w:rFonts w:ascii="Courier New" w:hAnsi="Courier New"/>
              </w:rPr>
            </w:pPr>
            <w:r>
              <w:rPr>
                <w:rFonts w:ascii="Courier New" w:hAnsi="Courier New"/>
              </w:rPr>
              <w:t>0.11 mg/l</w:t>
            </w:r>
          </w:p>
        </w:tc>
        <w:tc>
          <w:tcPr>
            <w:tcW w:w="1356" w:type="dxa"/>
          </w:tcPr>
          <w:p w:rsidR="0025256D" w:rsidRDefault="0025256D" w:rsidP="0025256D">
            <w:pPr>
              <w:pStyle w:val="ListParagraph"/>
              <w:ind w:left="0"/>
              <w:rPr>
                <w:rFonts w:ascii="Courier New" w:hAnsi="Courier New"/>
              </w:rPr>
            </w:pPr>
            <w:r>
              <w:rPr>
                <w:rFonts w:ascii="Courier New" w:hAnsi="Courier New"/>
              </w:rPr>
              <w:t>&lt;2</w:t>
            </w:r>
          </w:p>
        </w:tc>
        <w:tc>
          <w:tcPr>
            <w:tcW w:w="1372" w:type="dxa"/>
          </w:tcPr>
          <w:p w:rsidR="0025256D" w:rsidRDefault="0025256D" w:rsidP="0025256D">
            <w:pPr>
              <w:pStyle w:val="ListParagraph"/>
              <w:ind w:left="0"/>
              <w:rPr>
                <w:rFonts w:ascii="Courier New" w:hAnsi="Courier New"/>
              </w:rPr>
            </w:pPr>
            <w:r>
              <w:rPr>
                <w:rFonts w:ascii="Courier New" w:hAnsi="Courier New"/>
              </w:rPr>
              <w:t>&lt;2</w:t>
            </w:r>
          </w:p>
        </w:tc>
        <w:tc>
          <w:tcPr>
            <w:tcW w:w="1356" w:type="dxa"/>
          </w:tcPr>
          <w:p w:rsidR="0025256D" w:rsidRDefault="0025256D" w:rsidP="0025256D">
            <w:pPr>
              <w:pStyle w:val="ListParagraph"/>
              <w:ind w:left="0"/>
              <w:rPr>
                <w:rFonts w:ascii="Courier New" w:hAnsi="Courier New"/>
              </w:rPr>
            </w:pPr>
            <w:r>
              <w:rPr>
                <w:rFonts w:ascii="Courier New" w:hAnsi="Courier New"/>
              </w:rPr>
              <w:t>8.1</w:t>
            </w:r>
          </w:p>
        </w:tc>
        <w:tc>
          <w:tcPr>
            <w:tcW w:w="1356" w:type="dxa"/>
          </w:tcPr>
          <w:p w:rsidR="0025256D" w:rsidRDefault="0025256D" w:rsidP="0025256D">
            <w:pPr>
              <w:pStyle w:val="ListParagraph"/>
              <w:ind w:left="0"/>
              <w:rPr>
                <w:rFonts w:ascii="Courier New" w:hAnsi="Courier New"/>
              </w:rPr>
            </w:pPr>
            <w:r>
              <w:rPr>
                <w:rFonts w:ascii="Courier New" w:hAnsi="Courier New"/>
              </w:rPr>
              <w:t>2</w:t>
            </w:r>
          </w:p>
        </w:tc>
        <w:tc>
          <w:tcPr>
            <w:tcW w:w="1307" w:type="dxa"/>
          </w:tcPr>
          <w:p w:rsidR="0025256D" w:rsidRDefault="0025256D" w:rsidP="0025256D">
            <w:pPr>
              <w:pStyle w:val="ListParagraph"/>
              <w:ind w:left="0"/>
              <w:rPr>
                <w:rFonts w:ascii="Courier New" w:hAnsi="Courier New"/>
              </w:rPr>
            </w:pPr>
          </w:p>
        </w:tc>
      </w:tr>
      <w:tr w:rsidR="0025256D" w:rsidTr="0025256D">
        <w:tc>
          <w:tcPr>
            <w:tcW w:w="1470" w:type="dxa"/>
          </w:tcPr>
          <w:p w:rsidR="0025256D" w:rsidRDefault="0025256D" w:rsidP="0025256D">
            <w:pPr>
              <w:pStyle w:val="ListParagraph"/>
              <w:ind w:left="0"/>
              <w:rPr>
                <w:rFonts w:ascii="Courier New" w:hAnsi="Courier New"/>
              </w:rPr>
            </w:pPr>
            <w:r>
              <w:rPr>
                <w:rFonts w:ascii="Courier New" w:hAnsi="Courier New"/>
              </w:rPr>
              <w:t>Upstream B</w:t>
            </w:r>
          </w:p>
        </w:tc>
        <w:tc>
          <w:tcPr>
            <w:tcW w:w="1421" w:type="dxa"/>
          </w:tcPr>
          <w:p w:rsidR="0025256D" w:rsidRDefault="0025256D" w:rsidP="0025256D">
            <w:pPr>
              <w:pStyle w:val="ListParagraph"/>
              <w:ind w:left="0"/>
              <w:rPr>
                <w:rFonts w:ascii="Courier New" w:hAnsi="Courier New"/>
              </w:rPr>
            </w:pPr>
            <w:r>
              <w:rPr>
                <w:rFonts w:ascii="Courier New" w:hAnsi="Courier New"/>
              </w:rPr>
              <w:t>0.73</w:t>
            </w:r>
          </w:p>
        </w:tc>
        <w:tc>
          <w:tcPr>
            <w:tcW w:w="1356" w:type="dxa"/>
          </w:tcPr>
          <w:p w:rsidR="0025256D" w:rsidRDefault="0025256D" w:rsidP="0025256D">
            <w:pPr>
              <w:pStyle w:val="ListParagraph"/>
              <w:ind w:left="0"/>
              <w:rPr>
                <w:rFonts w:ascii="Courier New" w:hAnsi="Courier New"/>
              </w:rPr>
            </w:pPr>
            <w:r>
              <w:rPr>
                <w:rFonts w:ascii="Courier New" w:hAnsi="Courier New"/>
              </w:rPr>
              <w:t>4</w:t>
            </w:r>
          </w:p>
        </w:tc>
        <w:tc>
          <w:tcPr>
            <w:tcW w:w="1372" w:type="dxa"/>
          </w:tcPr>
          <w:p w:rsidR="0025256D" w:rsidRDefault="0025256D" w:rsidP="0025256D">
            <w:pPr>
              <w:pStyle w:val="ListParagraph"/>
              <w:ind w:left="0"/>
              <w:rPr>
                <w:rFonts w:ascii="Courier New" w:hAnsi="Courier New"/>
              </w:rPr>
            </w:pPr>
            <w:r>
              <w:rPr>
                <w:rFonts w:ascii="Courier New" w:hAnsi="Courier New"/>
              </w:rPr>
              <w:t>&lt;2</w:t>
            </w:r>
          </w:p>
        </w:tc>
        <w:tc>
          <w:tcPr>
            <w:tcW w:w="1356" w:type="dxa"/>
          </w:tcPr>
          <w:p w:rsidR="0025256D" w:rsidRDefault="0025256D" w:rsidP="0025256D">
            <w:pPr>
              <w:pStyle w:val="ListParagraph"/>
              <w:ind w:left="0"/>
              <w:rPr>
                <w:rFonts w:ascii="Courier New" w:hAnsi="Courier New"/>
              </w:rPr>
            </w:pPr>
            <w:r>
              <w:rPr>
                <w:rFonts w:ascii="Courier New" w:hAnsi="Courier New"/>
              </w:rPr>
              <w:t>7.7</w:t>
            </w:r>
          </w:p>
        </w:tc>
        <w:tc>
          <w:tcPr>
            <w:tcW w:w="1356" w:type="dxa"/>
          </w:tcPr>
          <w:p w:rsidR="0025256D" w:rsidRDefault="0025256D" w:rsidP="0025256D">
            <w:pPr>
              <w:pStyle w:val="ListParagraph"/>
              <w:ind w:left="0"/>
              <w:rPr>
                <w:rFonts w:ascii="Courier New" w:hAnsi="Courier New"/>
              </w:rPr>
            </w:pPr>
            <w:r>
              <w:rPr>
                <w:rFonts w:ascii="Courier New" w:hAnsi="Courier New"/>
              </w:rPr>
              <w:t>13</w:t>
            </w:r>
          </w:p>
        </w:tc>
        <w:tc>
          <w:tcPr>
            <w:tcW w:w="1307" w:type="dxa"/>
          </w:tcPr>
          <w:p w:rsidR="0025256D" w:rsidRDefault="0025256D" w:rsidP="0025256D">
            <w:pPr>
              <w:pStyle w:val="ListParagraph"/>
              <w:ind w:left="0"/>
              <w:rPr>
                <w:rFonts w:ascii="Courier New" w:hAnsi="Courier New"/>
              </w:rPr>
            </w:pPr>
          </w:p>
        </w:tc>
      </w:tr>
      <w:tr w:rsidR="0025256D" w:rsidTr="0025256D">
        <w:tc>
          <w:tcPr>
            <w:tcW w:w="1470" w:type="dxa"/>
          </w:tcPr>
          <w:p w:rsidR="0025256D" w:rsidRPr="00DD1A61" w:rsidRDefault="0025256D" w:rsidP="0025256D">
            <w:pPr>
              <w:pStyle w:val="ListParagraph"/>
              <w:ind w:left="0"/>
              <w:rPr>
                <w:rFonts w:ascii="Courier New" w:hAnsi="Courier New"/>
                <w:b/>
              </w:rPr>
            </w:pPr>
            <w:r w:rsidRPr="00DD1A61">
              <w:rPr>
                <w:rFonts w:ascii="Courier New" w:hAnsi="Courier New"/>
                <w:b/>
              </w:rPr>
              <w:t>Discharge Point</w:t>
            </w:r>
          </w:p>
        </w:tc>
        <w:tc>
          <w:tcPr>
            <w:tcW w:w="1421" w:type="dxa"/>
          </w:tcPr>
          <w:p w:rsidR="0025256D" w:rsidRPr="00DD1A61" w:rsidRDefault="0025256D" w:rsidP="0025256D">
            <w:pPr>
              <w:pStyle w:val="ListParagraph"/>
              <w:ind w:left="0"/>
              <w:rPr>
                <w:rFonts w:ascii="Courier New" w:hAnsi="Courier New"/>
                <w:b/>
              </w:rPr>
            </w:pPr>
            <w:r w:rsidRPr="00DD1A61">
              <w:rPr>
                <w:rFonts w:ascii="Courier New" w:hAnsi="Courier New"/>
                <w:b/>
              </w:rPr>
              <w:t>32</w:t>
            </w:r>
          </w:p>
        </w:tc>
        <w:tc>
          <w:tcPr>
            <w:tcW w:w="1356" w:type="dxa"/>
          </w:tcPr>
          <w:p w:rsidR="0025256D" w:rsidRPr="00DD1A61" w:rsidRDefault="0025256D" w:rsidP="0025256D">
            <w:pPr>
              <w:pStyle w:val="ListParagraph"/>
              <w:ind w:left="0"/>
              <w:rPr>
                <w:rFonts w:ascii="Courier New" w:hAnsi="Courier New"/>
                <w:b/>
              </w:rPr>
            </w:pPr>
            <w:r w:rsidRPr="00DD1A61">
              <w:rPr>
                <w:rFonts w:ascii="Courier New" w:hAnsi="Courier New"/>
                <w:b/>
              </w:rPr>
              <w:t>610</w:t>
            </w:r>
          </w:p>
        </w:tc>
        <w:tc>
          <w:tcPr>
            <w:tcW w:w="1372" w:type="dxa"/>
          </w:tcPr>
          <w:p w:rsidR="0025256D" w:rsidRPr="00DD1A61" w:rsidRDefault="0025256D" w:rsidP="0025256D">
            <w:pPr>
              <w:pStyle w:val="ListParagraph"/>
              <w:ind w:left="0"/>
              <w:rPr>
                <w:rFonts w:ascii="Courier New" w:hAnsi="Courier New"/>
                <w:b/>
              </w:rPr>
            </w:pPr>
            <w:r w:rsidRPr="00DD1A61">
              <w:rPr>
                <w:rFonts w:ascii="Courier New" w:hAnsi="Courier New"/>
                <w:b/>
              </w:rPr>
              <w:t>630</w:t>
            </w:r>
          </w:p>
        </w:tc>
        <w:tc>
          <w:tcPr>
            <w:tcW w:w="1356" w:type="dxa"/>
          </w:tcPr>
          <w:p w:rsidR="0025256D" w:rsidRPr="00DD1A61" w:rsidRDefault="0025256D" w:rsidP="0025256D">
            <w:pPr>
              <w:pStyle w:val="ListParagraph"/>
              <w:ind w:left="0"/>
              <w:rPr>
                <w:rFonts w:ascii="Courier New" w:hAnsi="Courier New"/>
                <w:b/>
              </w:rPr>
            </w:pPr>
            <w:r w:rsidRPr="00DD1A61">
              <w:rPr>
                <w:rFonts w:ascii="Courier New" w:hAnsi="Courier New"/>
                <w:b/>
              </w:rPr>
              <w:t>7.6</w:t>
            </w:r>
          </w:p>
        </w:tc>
        <w:tc>
          <w:tcPr>
            <w:tcW w:w="1356" w:type="dxa"/>
          </w:tcPr>
          <w:p w:rsidR="0025256D" w:rsidRPr="00DD1A61" w:rsidRDefault="0025256D" w:rsidP="0025256D">
            <w:pPr>
              <w:pStyle w:val="ListParagraph"/>
              <w:ind w:left="0"/>
              <w:rPr>
                <w:rFonts w:ascii="Courier New" w:hAnsi="Courier New"/>
                <w:b/>
              </w:rPr>
            </w:pPr>
            <w:r w:rsidRPr="00DD1A61">
              <w:rPr>
                <w:rFonts w:ascii="Courier New" w:hAnsi="Courier New"/>
                <w:b/>
              </w:rPr>
              <w:t>750</w:t>
            </w:r>
          </w:p>
        </w:tc>
        <w:tc>
          <w:tcPr>
            <w:tcW w:w="1307" w:type="dxa"/>
          </w:tcPr>
          <w:p w:rsidR="0025256D" w:rsidRDefault="0025256D" w:rsidP="0025256D">
            <w:pPr>
              <w:pStyle w:val="ListParagraph"/>
              <w:ind w:left="0"/>
              <w:rPr>
                <w:rFonts w:ascii="Courier New" w:hAnsi="Courier New"/>
              </w:rPr>
            </w:pPr>
          </w:p>
        </w:tc>
      </w:tr>
      <w:tr w:rsidR="0025256D" w:rsidTr="0025256D">
        <w:tc>
          <w:tcPr>
            <w:tcW w:w="1470" w:type="dxa"/>
          </w:tcPr>
          <w:p w:rsidR="0025256D" w:rsidRPr="00DD1A61" w:rsidRDefault="0025256D" w:rsidP="0025256D">
            <w:pPr>
              <w:pStyle w:val="ListParagraph"/>
              <w:ind w:left="0"/>
              <w:rPr>
                <w:rFonts w:ascii="Courier New" w:hAnsi="Courier New"/>
                <w:b/>
              </w:rPr>
            </w:pPr>
            <w:r w:rsidRPr="00DD1A61">
              <w:rPr>
                <w:rFonts w:ascii="Courier New" w:hAnsi="Courier New"/>
                <w:b/>
              </w:rPr>
              <w:t>downstream</w:t>
            </w:r>
          </w:p>
        </w:tc>
        <w:tc>
          <w:tcPr>
            <w:tcW w:w="1421" w:type="dxa"/>
          </w:tcPr>
          <w:p w:rsidR="0025256D" w:rsidRPr="00DD1A61" w:rsidRDefault="0025256D" w:rsidP="0025256D">
            <w:pPr>
              <w:pStyle w:val="ListParagraph"/>
              <w:ind w:left="0"/>
              <w:rPr>
                <w:rFonts w:ascii="Courier New" w:hAnsi="Courier New"/>
                <w:b/>
              </w:rPr>
            </w:pPr>
            <w:r w:rsidRPr="00DD1A61">
              <w:rPr>
                <w:rFonts w:ascii="Courier New" w:hAnsi="Courier New"/>
                <w:b/>
              </w:rPr>
              <w:t>20</w:t>
            </w:r>
          </w:p>
        </w:tc>
        <w:tc>
          <w:tcPr>
            <w:tcW w:w="1356" w:type="dxa"/>
          </w:tcPr>
          <w:p w:rsidR="0025256D" w:rsidRPr="00DD1A61" w:rsidRDefault="0025256D" w:rsidP="0025256D">
            <w:pPr>
              <w:pStyle w:val="ListParagraph"/>
              <w:ind w:left="0"/>
              <w:rPr>
                <w:rFonts w:ascii="Courier New" w:hAnsi="Courier New"/>
                <w:b/>
              </w:rPr>
            </w:pPr>
            <w:r w:rsidRPr="00DD1A61">
              <w:rPr>
                <w:rFonts w:ascii="Courier New" w:hAnsi="Courier New"/>
                <w:b/>
              </w:rPr>
              <w:t>190</w:t>
            </w:r>
          </w:p>
        </w:tc>
        <w:tc>
          <w:tcPr>
            <w:tcW w:w="1372" w:type="dxa"/>
          </w:tcPr>
          <w:p w:rsidR="0025256D" w:rsidRPr="00DD1A61" w:rsidRDefault="0025256D" w:rsidP="0025256D">
            <w:pPr>
              <w:pStyle w:val="ListParagraph"/>
              <w:ind w:left="0"/>
              <w:rPr>
                <w:rFonts w:ascii="Courier New" w:hAnsi="Courier New"/>
                <w:b/>
              </w:rPr>
            </w:pPr>
            <w:r w:rsidRPr="00DD1A61">
              <w:rPr>
                <w:rFonts w:ascii="Courier New" w:hAnsi="Courier New"/>
                <w:b/>
              </w:rPr>
              <w:t>140</w:t>
            </w:r>
          </w:p>
        </w:tc>
        <w:tc>
          <w:tcPr>
            <w:tcW w:w="1356" w:type="dxa"/>
          </w:tcPr>
          <w:p w:rsidR="0025256D" w:rsidRPr="00DD1A61" w:rsidRDefault="0025256D" w:rsidP="0025256D">
            <w:pPr>
              <w:pStyle w:val="ListParagraph"/>
              <w:ind w:left="0"/>
              <w:rPr>
                <w:rFonts w:ascii="Courier New" w:hAnsi="Courier New"/>
                <w:b/>
              </w:rPr>
            </w:pPr>
            <w:r w:rsidRPr="00DD1A61">
              <w:rPr>
                <w:rFonts w:ascii="Courier New" w:hAnsi="Courier New"/>
                <w:b/>
              </w:rPr>
              <w:t>7.3</w:t>
            </w:r>
          </w:p>
        </w:tc>
        <w:tc>
          <w:tcPr>
            <w:tcW w:w="1356" w:type="dxa"/>
          </w:tcPr>
          <w:p w:rsidR="0025256D" w:rsidRPr="00DD1A61" w:rsidRDefault="0025256D" w:rsidP="0025256D">
            <w:pPr>
              <w:pStyle w:val="ListParagraph"/>
              <w:ind w:left="0"/>
              <w:rPr>
                <w:rFonts w:ascii="Courier New" w:hAnsi="Courier New"/>
                <w:b/>
              </w:rPr>
            </w:pPr>
            <w:r w:rsidRPr="00DD1A61">
              <w:rPr>
                <w:rFonts w:ascii="Courier New" w:hAnsi="Courier New"/>
                <w:b/>
              </w:rPr>
              <w:t>340</w:t>
            </w:r>
          </w:p>
        </w:tc>
        <w:tc>
          <w:tcPr>
            <w:tcW w:w="1307" w:type="dxa"/>
          </w:tcPr>
          <w:p w:rsidR="0025256D" w:rsidRDefault="0025256D" w:rsidP="0025256D">
            <w:pPr>
              <w:pStyle w:val="ListParagraph"/>
              <w:ind w:left="0"/>
              <w:rPr>
                <w:rFonts w:ascii="Courier New" w:hAnsi="Courier New"/>
              </w:rPr>
            </w:pPr>
          </w:p>
        </w:tc>
      </w:tr>
      <w:tr w:rsidR="0025256D" w:rsidTr="0025256D">
        <w:tc>
          <w:tcPr>
            <w:tcW w:w="1470" w:type="dxa"/>
          </w:tcPr>
          <w:p w:rsidR="0025256D" w:rsidRDefault="0025256D" w:rsidP="0025256D">
            <w:pPr>
              <w:pStyle w:val="ListParagraph"/>
              <w:ind w:left="0"/>
              <w:rPr>
                <w:rFonts w:ascii="Courier New" w:hAnsi="Courier New"/>
              </w:rPr>
            </w:pPr>
            <w:r>
              <w:rPr>
                <w:rFonts w:ascii="Courier New" w:hAnsi="Courier New"/>
              </w:rPr>
              <w:t>1 mile downstream</w:t>
            </w:r>
          </w:p>
        </w:tc>
        <w:tc>
          <w:tcPr>
            <w:tcW w:w="1421" w:type="dxa"/>
          </w:tcPr>
          <w:p w:rsidR="0025256D" w:rsidRDefault="0025256D" w:rsidP="0025256D">
            <w:pPr>
              <w:pStyle w:val="ListParagraph"/>
              <w:ind w:left="0"/>
              <w:rPr>
                <w:rFonts w:ascii="Courier New" w:hAnsi="Courier New"/>
              </w:rPr>
            </w:pPr>
            <w:r>
              <w:rPr>
                <w:rFonts w:ascii="Courier New" w:hAnsi="Courier New"/>
              </w:rPr>
              <w:t>5</w:t>
            </w:r>
          </w:p>
        </w:tc>
        <w:tc>
          <w:tcPr>
            <w:tcW w:w="1356" w:type="dxa"/>
          </w:tcPr>
          <w:p w:rsidR="0025256D" w:rsidRDefault="0025256D" w:rsidP="0025256D">
            <w:pPr>
              <w:pStyle w:val="ListParagraph"/>
              <w:ind w:left="0"/>
              <w:rPr>
                <w:rFonts w:ascii="Courier New" w:hAnsi="Courier New"/>
              </w:rPr>
            </w:pPr>
            <w:r>
              <w:rPr>
                <w:rFonts w:ascii="Courier New" w:hAnsi="Courier New"/>
              </w:rPr>
              <w:t>5</w:t>
            </w:r>
          </w:p>
        </w:tc>
        <w:tc>
          <w:tcPr>
            <w:tcW w:w="1372" w:type="dxa"/>
          </w:tcPr>
          <w:p w:rsidR="0025256D" w:rsidRDefault="0025256D" w:rsidP="0025256D">
            <w:pPr>
              <w:pStyle w:val="ListParagraph"/>
              <w:ind w:left="0"/>
              <w:rPr>
                <w:rFonts w:ascii="Courier New" w:hAnsi="Courier New"/>
              </w:rPr>
            </w:pPr>
            <w:r>
              <w:rPr>
                <w:rFonts w:ascii="Courier New" w:hAnsi="Courier New"/>
              </w:rPr>
              <w:t>4</w:t>
            </w:r>
          </w:p>
        </w:tc>
        <w:tc>
          <w:tcPr>
            <w:tcW w:w="1356" w:type="dxa"/>
          </w:tcPr>
          <w:p w:rsidR="0025256D" w:rsidRDefault="0025256D" w:rsidP="0025256D">
            <w:pPr>
              <w:pStyle w:val="ListParagraph"/>
              <w:ind w:left="0"/>
              <w:rPr>
                <w:rFonts w:ascii="Courier New" w:hAnsi="Courier New"/>
              </w:rPr>
            </w:pPr>
            <w:r>
              <w:rPr>
                <w:rFonts w:ascii="Courier New" w:hAnsi="Courier New"/>
              </w:rPr>
              <w:t>7.8</w:t>
            </w:r>
          </w:p>
        </w:tc>
        <w:tc>
          <w:tcPr>
            <w:tcW w:w="1356" w:type="dxa"/>
          </w:tcPr>
          <w:p w:rsidR="0025256D" w:rsidRDefault="0025256D" w:rsidP="0025256D">
            <w:pPr>
              <w:pStyle w:val="ListParagraph"/>
              <w:ind w:left="0"/>
              <w:rPr>
                <w:rFonts w:ascii="Courier New" w:hAnsi="Courier New"/>
              </w:rPr>
            </w:pPr>
            <w:r>
              <w:rPr>
                <w:rFonts w:ascii="Courier New" w:hAnsi="Courier New"/>
              </w:rPr>
              <w:t>53</w:t>
            </w:r>
          </w:p>
        </w:tc>
        <w:tc>
          <w:tcPr>
            <w:tcW w:w="1307" w:type="dxa"/>
          </w:tcPr>
          <w:p w:rsidR="0025256D" w:rsidRDefault="0025256D" w:rsidP="0025256D">
            <w:pPr>
              <w:pStyle w:val="ListParagraph"/>
              <w:ind w:left="0"/>
              <w:rPr>
                <w:rFonts w:ascii="Courier New" w:hAnsi="Courier New"/>
              </w:rPr>
            </w:pPr>
          </w:p>
        </w:tc>
      </w:tr>
    </w:tbl>
    <w:p w:rsidR="0025256D" w:rsidRPr="0025256D" w:rsidRDefault="0025256D" w:rsidP="0025256D">
      <w:pPr>
        <w:pStyle w:val="ListParagraph"/>
        <w:rPr>
          <w:rFonts w:ascii="Courier New" w:hAnsi="Courier New"/>
        </w:rPr>
      </w:pPr>
    </w:p>
    <w:p w:rsidR="00EB2266" w:rsidRDefault="0025256D" w:rsidP="00B21AF1">
      <w:pPr>
        <w:pStyle w:val="ListParagraph"/>
        <w:numPr>
          <w:ilvl w:val="0"/>
          <w:numId w:val="1"/>
        </w:numPr>
        <w:jc w:val="both"/>
        <w:rPr>
          <w:rFonts w:ascii="Courier New" w:hAnsi="Courier New"/>
        </w:rPr>
      </w:pPr>
      <w:r>
        <w:rPr>
          <w:rFonts w:ascii="Courier New" w:hAnsi="Courier New"/>
        </w:rPr>
        <w:t xml:space="preserve">September 4, 2019 – Brian </w:t>
      </w:r>
      <w:r w:rsidR="00765833">
        <w:rPr>
          <w:rFonts w:ascii="Courier New" w:hAnsi="Courier New"/>
        </w:rPr>
        <w:t xml:space="preserve">Lee and Kurt Levetzow conducted a site visit to </w:t>
      </w:r>
      <w:proofErr w:type="spellStart"/>
      <w:r w:rsidR="00765833">
        <w:rPr>
          <w:rFonts w:ascii="Courier New" w:hAnsi="Courier New"/>
        </w:rPr>
        <w:t>Chamness</w:t>
      </w:r>
      <w:proofErr w:type="spellEnd"/>
      <w:r w:rsidR="00765833">
        <w:rPr>
          <w:rFonts w:ascii="Courier New" w:hAnsi="Courier New"/>
        </w:rPr>
        <w:t xml:space="preserve"> (after Ryan </w:t>
      </w:r>
      <w:proofErr w:type="spellStart"/>
      <w:r w:rsidR="00765833">
        <w:rPr>
          <w:rFonts w:ascii="Courier New" w:hAnsi="Courier New"/>
        </w:rPr>
        <w:t>Stouder’s</w:t>
      </w:r>
      <w:proofErr w:type="spellEnd"/>
      <w:r w:rsidR="00765833">
        <w:rPr>
          <w:rFonts w:ascii="Courier New" w:hAnsi="Courier New"/>
        </w:rPr>
        <w:t xml:space="preserve"> visit, which he mainly dealt with the runoff issue).  We met Gary Chamness and Doug McCrea.  We discussed the status of the situation and toured the facility.  See Brian’s memo dated September 4, 2019. </w:t>
      </w:r>
    </w:p>
    <w:p w:rsidR="00EB2266" w:rsidRDefault="00EB2266" w:rsidP="00EB2266">
      <w:pPr>
        <w:pStyle w:val="ListParagraph"/>
        <w:jc w:val="both"/>
        <w:rPr>
          <w:rFonts w:ascii="Courier New" w:hAnsi="Courier New"/>
        </w:rPr>
      </w:pPr>
    </w:p>
    <w:p w:rsidR="00EB2266" w:rsidRDefault="00EB2266" w:rsidP="00EB2266">
      <w:pPr>
        <w:pStyle w:val="ListParagraph"/>
        <w:numPr>
          <w:ilvl w:val="0"/>
          <w:numId w:val="1"/>
        </w:numPr>
        <w:jc w:val="both"/>
        <w:rPr>
          <w:rFonts w:ascii="Courier New" w:hAnsi="Courier New"/>
        </w:rPr>
      </w:pPr>
      <w:r>
        <w:rPr>
          <w:rFonts w:ascii="Courier New" w:hAnsi="Courier New"/>
        </w:rPr>
        <w:lastRenderedPageBreak/>
        <w:t xml:space="preserve">September 12, 2019 - Gary contacted FO6 to let us know the west drain had been opened.  He indicated that progress continued regarding draining the leachate and collected storm water from the pad to the west lagoon. Work continued on the partially collapsed east drain and it should be opened within a week. </w:t>
      </w:r>
      <w:r w:rsidRPr="00A243B5">
        <w:rPr>
          <w:rFonts w:ascii="Courier New" w:hAnsi="Courier New"/>
        </w:rPr>
        <w:t>Windrows should be able to be formed in about 2 weeks.  A path continues to be maintained around a majority of the pad.   He added that about 320 loads of finished compost has been hauled off site since July.</w:t>
      </w:r>
      <w:r>
        <w:rPr>
          <w:rFonts w:ascii="Courier New" w:hAnsi="Courier New"/>
        </w:rPr>
        <w:t xml:space="preserve"> </w:t>
      </w:r>
    </w:p>
    <w:p w:rsidR="00EB2266" w:rsidRPr="00EB2266" w:rsidRDefault="00EB2266" w:rsidP="00EB2266">
      <w:pPr>
        <w:pStyle w:val="ListParagraph"/>
        <w:rPr>
          <w:rFonts w:ascii="Courier New" w:hAnsi="Courier New"/>
        </w:rPr>
      </w:pPr>
    </w:p>
    <w:p w:rsidR="00EB2266" w:rsidRPr="00F6663C" w:rsidRDefault="00EB2266" w:rsidP="00EB2266">
      <w:pPr>
        <w:pStyle w:val="ListParagraph"/>
        <w:jc w:val="both"/>
        <w:rPr>
          <w:rFonts w:ascii="Courier New" w:hAnsi="Courier New"/>
        </w:rPr>
      </w:pPr>
      <w:r>
        <w:rPr>
          <w:rFonts w:ascii="Courier New" w:hAnsi="Courier New"/>
        </w:rPr>
        <w:t xml:space="preserve">  </w:t>
      </w:r>
    </w:p>
    <w:p w:rsidR="00134005" w:rsidRDefault="00765833" w:rsidP="00EB2266">
      <w:pPr>
        <w:pStyle w:val="ListParagraph"/>
        <w:numPr>
          <w:ilvl w:val="0"/>
          <w:numId w:val="1"/>
        </w:numPr>
        <w:jc w:val="both"/>
        <w:rPr>
          <w:rFonts w:ascii="Courier New" w:hAnsi="Courier New"/>
        </w:rPr>
      </w:pPr>
      <w:r w:rsidRPr="00EB2266">
        <w:rPr>
          <w:rFonts w:ascii="Courier New" w:hAnsi="Courier New"/>
        </w:rPr>
        <w:t xml:space="preserve">September 16, 2019 – DNR FO6 received two </w:t>
      </w:r>
      <w:r w:rsidR="009D2E7B" w:rsidRPr="00EB2266">
        <w:rPr>
          <w:rFonts w:ascii="Courier New" w:hAnsi="Courier New"/>
        </w:rPr>
        <w:t>complaints stating that there are fires within the compost pile and that Chamness is burying compos</w:t>
      </w:r>
      <w:r w:rsidR="00DD1A61">
        <w:rPr>
          <w:rFonts w:ascii="Courier New" w:hAnsi="Courier New"/>
        </w:rPr>
        <w:t xml:space="preserve">t onsite.  Kurt </w:t>
      </w:r>
      <w:proofErr w:type="spellStart"/>
      <w:r w:rsidR="00DD1A61">
        <w:rPr>
          <w:rFonts w:ascii="Courier New" w:hAnsi="Courier New"/>
        </w:rPr>
        <w:t>Levetzow</w:t>
      </w:r>
      <w:proofErr w:type="spellEnd"/>
      <w:r w:rsidR="00DD1A61">
        <w:rPr>
          <w:rFonts w:ascii="Courier New" w:hAnsi="Courier New"/>
        </w:rPr>
        <w:t xml:space="preserve"> investigate</w:t>
      </w:r>
      <w:r w:rsidR="009D2E7B" w:rsidRPr="00EB2266">
        <w:rPr>
          <w:rFonts w:ascii="Courier New" w:hAnsi="Courier New"/>
        </w:rPr>
        <w:t>d on September 1</w:t>
      </w:r>
      <w:r w:rsidR="00DD1A61">
        <w:rPr>
          <w:rFonts w:ascii="Courier New" w:hAnsi="Courier New"/>
        </w:rPr>
        <w:t>6, 2019</w:t>
      </w:r>
      <w:r w:rsidR="009D2E7B" w:rsidRPr="00EB2266">
        <w:rPr>
          <w:rFonts w:ascii="Courier New" w:hAnsi="Courier New"/>
        </w:rPr>
        <w:t>.  Upon arrival, Doug McCrea was there and just getting ready to do his quarterly lagoon sampling, so he and I toured the entire facility.  Some improvements were made from the 9/4/19 visit, compost was pulled back and not running offsite, lea</w:t>
      </w:r>
      <w:r w:rsidR="00DD1A61">
        <w:rPr>
          <w:rFonts w:ascii="Courier New" w:hAnsi="Courier New"/>
        </w:rPr>
        <w:t>chate continues to flow offsite toward the east</w:t>
      </w:r>
      <w:r w:rsidR="009D2E7B" w:rsidRPr="00EB2266">
        <w:rPr>
          <w:rFonts w:ascii="Courier New" w:hAnsi="Courier New"/>
        </w:rPr>
        <w:t xml:space="preserve"> but i</w:t>
      </w:r>
      <w:r w:rsidR="00DD1A61">
        <w:rPr>
          <w:rFonts w:ascii="Courier New" w:hAnsi="Courier New"/>
        </w:rPr>
        <w:t>s</w:t>
      </w:r>
      <w:r w:rsidR="009D2E7B" w:rsidRPr="00EB2266">
        <w:rPr>
          <w:rFonts w:ascii="Courier New" w:hAnsi="Courier New"/>
        </w:rPr>
        <w:t xml:space="preserve"> contained behind 3 dirt berms and is being pumped into the east lagoon.  The smoke appears to be a combination of DE that’s not thoroughly mixed into the compost and steam.  As for the burial allegation, finished-unscreened compost is being hauled east of the pad in two locations, dumped and mixed with clay/dirt and they’re calling it a reclamation project to bring up the land for farming and for construction a building on.  </w:t>
      </w:r>
      <w:bookmarkStart w:id="0" w:name="_GoBack"/>
      <w:bookmarkEnd w:id="0"/>
    </w:p>
    <w:p w:rsidR="00DD1A61" w:rsidRDefault="00DD1A61" w:rsidP="00DD1A61">
      <w:pPr>
        <w:jc w:val="both"/>
        <w:rPr>
          <w:rFonts w:ascii="Courier New" w:hAnsi="Courier New"/>
        </w:rPr>
      </w:pPr>
    </w:p>
    <w:p w:rsidR="00DD1A61" w:rsidRPr="004F0D42" w:rsidRDefault="004F0D42" w:rsidP="00DD1A61">
      <w:pPr>
        <w:jc w:val="both"/>
        <w:rPr>
          <w:rFonts w:ascii="Courier New" w:hAnsi="Courier New"/>
          <w:b/>
          <w:u w:val="single"/>
        </w:rPr>
      </w:pPr>
      <w:r w:rsidRPr="004F0D42">
        <w:rPr>
          <w:rFonts w:ascii="Courier New" w:hAnsi="Courier New"/>
          <w:b/>
          <w:u w:val="single"/>
        </w:rPr>
        <w:t>GOAL OF THIS CONFERENCE CALL:</w:t>
      </w:r>
    </w:p>
    <w:p w:rsidR="00DD1A61" w:rsidRDefault="00DD1A61" w:rsidP="00DD1A61">
      <w:pPr>
        <w:pStyle w:val="ListParagraph"/>
        <w:numPr>
          <w:ilvl w:val="0"/>
          <w:numId w:val="2"/>
        </w:numPr>
        <w:jc w:val="both"/>
        <w:rPr>
          <w:rFonts w:ascii="Courier New" w:hAnsi="Courier New"/>
        </w:rPr>
      </w:pPr>
      <w:r>
        <w:rPr>
          <w:rFonts w:ascii="Courier New" w:hAnsi="Courier New"/>
        </w:rPr>
        <w:t>Decide if another NOV should be issued for ongoing violations of permit/operations plan.</w:t>
      </w:r>
    </w:p>
    <w:p w:rsidR="00DD1A61" w:rsidRDefault="00DD1A61" w:rsidP="00DD1A61">
      <w:pPr>
        <w:pStyle w:val="ListParagraph"/>
        <w:numPr>
          <w:ilvl w:val="0"/>
          <w:numId w:val="2"/>
        </w:numPr>
        <w:jc w:val="both"/>
        <w:rPr>
          <w:rFonts w:ascii="Courier New" w:hAnsi="Courier New"/>
        </w:rPr>
      </w:pPr>
      <w:r>
        <w:rPr>
          <w:rFonts w:ascii="Courier New" w:hAnsi="Courier New"/>
        </w:rPr>
        <w:t xml:space="preserve">Discuss our authority to prohibit as much incoming </w:t>
      </w:r>
      <w:proofErr w:type="spellStart"/>
      <w:r>
        <w:rPr>
          <w:rFonts w:ascii="Courier New" w:hAnsi="Courier New"/>
        </w:rPr>
        <w:t>feedstocks</w:t>
      </w:r>
      <w:proofErr w:type="spellEnd"/>
      <w:r>
        <w:rPr>
          <w:rFonts w:ascii="Courier New" w:hAnsi="Courier New"/>
        </w:rPr>
        <w:t xml:space="preserve"> until they can get back into compliance with their windrowing operation.</w:t>
      </w:r>
    </w:p>
    <w:p w:rsidR="00DD1A61" w:rsidRPr="00DD1A61" w:rsidRDefault="00DD1A61" w:rsidP="00DD1A61">
      <w:pPr>
        <w:pStyle w:val="ListParagraph"/>
        <w:numPr>
          <w:ilvl w:val="0"/>
          <w:numId w:val="2"/>
        </w:numPr>
        <w:jc w:val="both"/>
        <w:rPr>
          <w:rFonts w:ascii="Courier New" w:hAnsi="Courier New"/>
        </w:rPr>
      </w:pPr>
      <w:r>
        <w:rPr>
          <w:rFonts w:ascii="Courier New" w:hAnsi="Courier New"/>
        </w:rPr>
        <w:t>Determine if enforcement action is warranted at this time.</w:t>
      </w:r>
    </w:p>
    <w:p w:rsidR="00134005" w:rsidRDefault="00134005" w:rsidP="00134005">
      <w:pPr>
        <w:pStyle w:val="ListParagraph"/>
        <w:jc w:val="both"/>
        <w:rPr>
          <w:rFonts w:ascii="Courier New" w:hAnsi="Courier New"/>
        </w:rPr>
      </w:pPr>
    </w:p>
    <w:p w:rsidR="00A4707E" w:rsidRDefault="00A4707E">
      <w:pPr>
        <w:jc w:val="both"/>
        <w:rPr>
          <w:rFonts w:ascii="Courier New" w:hAnsi="Courier New"/>
        </w:rPr>
      </w:pPr>
    </w:p>
    <w:p w:rsidR="00A4707E" w:rsidRDefault="00A4707E">
      <w:pPr>
        <w:jc w:val="both"/>
        <w:rPr>
          <w:rFonts w:ascii="Courier New" w:hAnsi="Courier New"/>
        </w:rPr>
      </w:pPr>
    </w:p>
    <w:p w:rsidR="00A4707E" w:rsidRDefault="00A4707E">
      <w:pPr>
        <w:jc w:val="both"/>
        <w:rPr>
          <w:rFonts w:ascii="Courier New" w:hAnsi="Courier New"/>
        </w:rPr>
      </w:pPr>
    </w:p>
    <w:p w:rsidR="00A4707E" w:rsidRDefault="00F6663C">
      <w:pPr>
        <w:jc w:val="both"/>
        <w:rPr>
          <w:rFonts w:ascii="Courier New" w:hAnsi="Courier New"/>
        </w:rPr>
      </w:pPr>
      <w:r>
        <w:rPr>
          <w:rFonts w:ascii="Courier New" w:hAnsi="Courier New"/>
        </w:rPr>
        <w:t>KRL</w:t>
      </w:r>
      <w:r w:rsidR="00A4707E">
        <w:rPr>
          <w:rFonts w:ascii="Courier New" w:hAnsi="Courier New"/>
        </w:rPr>
        <w:t>:J:\FO6\SHARED\</w:t>
      </w:r>
      <w:proofErr w:type="spellStart"/>
      <w:r>
        <w:rPr>
          <w:rFonts w:ascii="Courier New" w:hAnsi="Courier New"/>
        </w:rPr>
        <w:t>klevetz</w:t>
      </w:r>
      <w:proofErr w:type="spellEnd"/>
      <w:r w:rsidR="00A4707E">
        <w:rPr>
          <w:rFonts w:ascii="Courier New" w:hAnsi="Courier New"/>
        </w:rPr>
        <w:t>\</w:t>
      </w:r>
      <w:r>
        <w:rPr>
          <w:rFonts w:ascii="Courier New" w:hAnsi="Courier New"/>
        </w:rPr>
        <w:t>SW</w:t>
      </w:r>
      <w:r w:rsidR="00A4707E">
        <w:rPr>
          <w:rFonts w:ascii="Courier New" w:hAnsi="Courier New"/>
        </w:rPr>
        <w:t>\</w:t>
      </w:r>
      <w:proofErr w:type="spellStart"/>
      <w:r>
        <w:rPr>
          <w:rFonts w:ascii="Courier New" w:hAnsi="Courier New"/>
        </w:rPr>
        <w:t>Chamness</w:t>
      </w:r>
      <w:proofErr w:type="spellEnd"/>
      <w:r>
        <w:rPr>
          <w:rFonts w:ascii="Courier New" w:hAnsi="Courier New"/>
        </w:rPr>
        <w:t xml:space="preserve"> memo</w:t>
      </w:r>
    </w:p>
    <w:p w:rsidR="00A4707E" w:rsidRDefault="00A4707E">
      <w:pPr>
        <w:jc w:val="both"/>
        <w:rPr>
          <w:rFonts w:ascii="Courier New" w:hAnsi="Courier New"/>
        </w:rPr>
      </w:pPr>
      <w:r>
        <w:rPr>
          <w:rFonts w:ascii="Courier New" w:hAnsi="Courier New"/>
        </w:rPr>
        <w:t xml:space="preserve">Picture Filenames: </w:t>
      </w:r>
      <w:proofErr w:type="spellStart"/>
      <w:r w:rsidR="00DD1A61">
        <w:rPr>
          <w:rFonts w:ascii="Courier New" w:hAnsi="Courier New"/>
        </w:rPr>
        <w:t>Chamness</w:t>
      </w:r>
      <w:proofErr w:type="spellEnd"/>
      <w:r w:rsidR="00DD1A61">
        <w:rPr>
          <w:rFonts w:ascii="Courier New" w:hAnsi="Courier New"/>
        </w:rPr>
        <w:t xml:space="preserve"> 9-17-19.jpg</w:t>
      </w:r>
    </w:p>
    <w:p w:rsidR="00A4707E" w:rsidRDefault="00A4707E">
      <w:pPr>
        <w:rPr>
          <w:rFonts w:ascii="Courier New" w:hAnsi="Courier New"/>
        </w:rPr>
      </w:pPr>
    </w:p>
    <w:p w:rsidR="00A4707E" w:rsidRDefault="00A4707E">
      <w:pPr>
        <w:rPr>
          <w:rFonts w:ascii="Courier New" w:hAnsi="Courier New"/>
        </w:rPr>
      </w:pPr>
    </w:p>
    <w:p w:rsidR="00A4707E" w:rsidRDefault="00A4707E">
      <w:pPr>
        <w:jc w:val="both"/>
        <w:rPr>
          <w:rFonts w:ascii="Courier New" w:hAnsi="Courier New"/>
        </w:rPr>
      </w:pPr>
      <w:proofErr w:type="gramStart"/>
      <w:r>
        <w:rPr>
          <w:rFonts w:ascii="Courier New" w:hAnsi="Courier New"/>
        </w:rPr>
        <w:t>xc</w:t>
      </w:r>
      <w:proofErr w:type="gramEnd"/>
      <w:r>
        <w:rPr>
          <w:rFonts w:ascii="Courier New" w:hAnsi="Courier New"/>
        </w:rPr>
        <w:t xml:space="preserve">: </w:t>
      </w:r>
      <w:r w:rsidR="00DD1A61">
        <w:rPr>
          <w:rFonts w:ascii="Courier New" w:hAnsi="Courier New"/>
        </w:rPr>
        <w:t>SW Section</w:t>
      </w:r>
      <w:r>
        <w:rPr>
          <w:rFonts w:ascii="Courier New" w:hAnsi="Courier New"/>
        </w:rPr>
        <w:t xml:space="preserve"> DNR, Des Moines</w:t>
      </w:r>
    </w:p>
    <w:p w:rsidR="00A4707E" w:rsidRDefault="00A4707E">
      <w:pPr>
        <w:jc w:val="both"/>
        <w:rPr>
          <w:rFonts w:ascii="Courier New" w:hAnsi="Courier New"/>
        </w:rPr>
      </w:pPr>
    </w:p>
    <w:p w:rsidR="00A4707E" w:rsidRDefault="00A4707E">
      <w:pPr>
        <w:jc w:val="both"/>
        <w:rPr>
          <w:rFonts w:ascii="Courier New" w:hAnsi="Courier New"/>
          <w:sz w:val="12"/>
        </w:rPr>
      </w:pPr>
    </w:p>
    <w:sectPr w:rsidR="00A4707E" w:rsidSect="004F0D42">
      <w:type w:val="continuous"/>
      <w:pgSz w:w="12240" w:h="15840" w:code="1"/>
      <w:pgMar w:top="1260" w:right="864" w:bottom="432" w:left="1008" w:header="648"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922" w:rsidRDefault="00F91922">
      <w:r>
        <w:separator/>
      </w:r>
    </w:p>
  </w:endnote>
  <w:endnote w:type="continuationSeparator" w:id="0">
    <w:p w:rsidR="00F91922" w:rsidRDefault="00F9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E0A" w:rsidRDefault="001B3E0A">
    <w:pPr>
      <w:pStyle w:val="Header"/>
      <w:tabs>
        <w:tab w:val="left" w:pos="6336"/>
      </w:tabs>
      <w:jc w:val="center"/>
      <w:rPr>
        <w:rFonts w:ascii="Arial" w:hAnsi="Arial"/>
        <w:sz w:val="17"/>
      </w:rPr>
    </w:pPr>
    <w:r>
      <w:rPr>
        <w:rFonts w:ascii="Arial" w:hAnsi="Arial"/>
        <w:sz w:val="17"/>
      </w:rPr>
      <w:t>Environmental Services Division, Field Office #6, 1023 W. Madison, Washington, Iowa 52353-1623 Tel 319-653-2135   Fax 319-653-2856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922" w:rsidRDefault="00F91922">
      <w:r>
        <w:separator/>
      </w:r>
    </w:p>
  </w:footnote>
  <w:footnote w:type="continuationSeparator" w:id="0">
    <w:p w:rsidR="00F91922" w:rsidRDefault="00F91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E0A" w:rsidRDefault="00CE1660">
    <w:pPr>
      <w:pStyle w:val="Header"/>
    </w:pPr>
    <w:r>
      <w:rPr>
        <w:noProof/>
      </w:rPr>
      <w:drawing>
        <wp:inline distT="0" distB="0" distL="0" distR="0">
          <wp:extent cx="6391275" cy="638175"/>
          <wp:effectExtent l="0" t="0" r="9525" b="9525"/>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01FE6"/>
    <w:multiLevelType w:val="hybridMultilevel"/>
    <w:tmpl w:val="973E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FB3D6C"/>
    <w:multiLevelType w:val="hybridMultilevel"/>
    <w:tmpl w:val="D5C6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22"/>
    <w:rsid w:val="0002024A"/>
    <w:rsid w:val="000A5970"/>
    <w:rsid w:val="000E451C"/>
    <w:rsid w:val="000E5A5D"/>
    <w:rsid w:val="00134005"/>
    <w:rsid w:val="001B3E0A"/>
    <w:rsid w:val="0025256D"/>
    <w:rsid w:val="002D05D0"/>
    <w:rsid w:val="004F0D42"/>
    <w:rsid w:val="005501ED"/>
    <w:rsid w:val="00574B22"/>
    <w:rsid w:val="005C7181"/>
    <w:rsid w:val="005E237A"/>
    <w:rsid w:val="005E3DE1"/>
    <w:rsid w:val="0065050A"/>
    <w:rsid w:val="007161E3"/>
    <w:rsid w:val="00765833"/>
    <w:rsid w:val="00882C41"/>
    <w:rsid w:val="008A1355"/>
    <w:rsid w:val="009D2E7B"/>
    <w:rsid w:val="00A243B5"/>
    <w:rsid w:val="00A4707E"/>
    <w:rsid w:val="00B21AF1"/>
    <w:rsid w:val="00B567D8"/>
    <w:rsid w:val="00CE1660"/>
    <w:rsid w:val="00DD1A61"/>
    <w:rsid w:val="00EB2266"/>
    <w:rsid w:val="00F53969"/>
    <w:rsid w:val="00F6663C"/>
    <w:rsid w:val="00F86EA5"/>
    <w:rsid w:val="00F91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CF032B"/>
  <w15:docId w15:val="{9665E0EA-5E71-4E98-B097-2CDB661C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New" w:hAnsi="Courier Ne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b/>
    </w:rPr>
  </w:style>
  <w:style w:type="paragraph" w:styleId="BalloonText">
    <w:name w:val="Balloon Text"/>
    <w:basedOn w:val="Normal"/>
    <w:link w:val="BalloonTextChar"/>
    <w:rsid w:val="00F91922"/>
    <w:rPr>
      <w:rFonts w:ascii="Tahoma" w:hAnsi="Tahoma" w:cs="Tahoma"/>
      <w:sz w:val="16"/>
      <w:szCs w:val="16"/>
    </w:rPr>
  </w:style>
  <w:style w:type="character" w:customStyle="1" w:styleId="BalloonTextChar">
    <w:name w:val="Balloon Text Char"/>
    <w:basedOn w:val="DefaultParagraphFont"/>
    <w:link w:val="BalloonText"/>
    <w:rsid w:val="00F91922"/>
    <w:rPr>
      <w:rFonts w:ascii="Tahoma" w:hAnsi="Tahoma" w:cs="Tahoma"/>
      <w:sz w:val="16"/>
      <w:szCs w:val="16"/>
    </w:rPr>
  </w:style>
  <w:style w:type="paragraph" w:styleId="ListParagraph">
    <w:name w:val="List Paragraph"/>
    <w:basedOn w:val="Normal"/>
    <w:uiPriority w:val="34"/>
    <w:qFormat/>
    <w:rsid w:val="00B21AF1"/>
    <w:pPr>
      <w:ind w:left="720"/>
      <w:contextualSpacing/>
    </w:pPr>
  </w:style>
  <w:style w:type="table" w:styleId="TableGrid">
    <w:name w:val="Table Grid"/>
    <w:basedOn w:val="TableNormal"/>
    <w:rsid w:val="0025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nvironmental%20Services\Field%20Services\ESD06-Wash-Fo6\CABINET\Templt97\Memo%20template%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template 2012</Template>
  <TotalTime>20</TotalTime>
  <Pages>2</Pages>
  <Words>770</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Iowa DNR</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Royce, Russell [DNR]</dc:creator>
  <cp:lastModifiedBy>Levetzow, Kurt [DNR]</cp:lastModifiedBy>
  <cp:revision>5</cp:revision>
  <cp:lastPrinted>2001-03-06T14:08:00Z</cp:lastPrinted>
  <dcterms:created xsi:type="dcterms:W3CDTF">2019-09-19T13:55:00Z</dcterms:created>
  <dcterms:modified xsi:type="dcterms:W3CDTF">2019-09-19T16:21:00Z</dcterms:modified>
</cp:coreProperties>
</file>